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C223A5">
      <w:pPr>
        <w:spacing w:after="0" w:line="384" w:lineRule="auto"/>
        <w:ind w:firstLine="480"/>
        <w:jc w:val="both"/>
        <w:rPr>
          <w:b/>
          <w:bCs/>
          <w:sz w:val="32"/>
          <w:szCs w:val="28"/>
          <w:lang w:eastAsia="zh-CN"/>
        </w:rPr>
      </w:pPr>
      <w:r>
        <w:rPr>
          <w:rFonts w:hint="eastAsia"/>
          <w:b/>
          <w:bCs/>
          <w:sz w:val="32"/>
          <w:szCs w:val="28"/>
          <w:lang w:eastAsia="zh-CN"/>
        </w:rPr>
        <w:t>附件1</w:t>
      </w:r>
    </w:p>
    <w:p w14:paraId="4BDE70FE">
      <w:pPr>
        <w:spacing w:after="0" w:line="384" w:lineRule="auto"/>
        <w:ind w:firstLine="480"/>
        <w:jc w:val="both"/>
        <w:rPr>
          <w:b/>
          <w:bCs/>
          <w:sz w:val="32"/>
          <w:szCs w:val="28"/>
          <w:lang w:eastAsia="zh-CN"/>
        </w:rPr>
      </w:pPr>
      <w:bookmarkStart w:id="0" w:name="_GoBack"/>
      <w:r>
        <w:rPr>
          <w:b/>
          <w:bCs/>
          <w:sz w:val="32"/>
          <w:szCs w:val="28"/>
          <w:lang w:eastAsia="zh-CN"/>
        </w:rPr>
        <w:t>2026年度</w:t>
      </w:r>
      <w:r>
        <w:rPr>
          <w:rFonts w:hint="eastAsia"/>
          <w:b/>
          <w:bCs/>
          <w:sz w:val="32"/>
          <w:szCs w:val="28"/>
          <w:lang w:eastAsia="zh-CN"/>
        </w:rPr>
        <w:t>“扁鹊计划”项目申报指南</w:t>
      </w:r>
      <w:bookmarkEnd w:id="0"/>
    </w:p>
    <w:p w14:paraId="6814C003">
      <w:pPr>
        <w:spacing w:after="0" w:line="384" w:lineRule="auto"/>
        <w:ind w:firstLine="480"/>
        <w:jc w:val="both"/>
        <w:rPr>
          <w:b/>
          <w:bCs/>
          <w:sz w:val="28"/>
          <w:szCs w:val="24"/>
          <w:lang w:eastAsia="zh-CN"/>
        </w:rPr>
      </w:pPr>
      <w:r>
        <w:rPr>
          <w:b/>
          <w:bCs/>
          <w:sz w:val="28"/>
          <w:szCs w:val="24"/>
          <w:lang w:eastAsia="zh-CN"/>
        </w:rPr>
        <w:t>一、科学目标</w:t>
      </w:r>
    </w:p>
    <w:p w14:paraId="7F1722CE">
      <w:pPr>
        <w:spacing w:after="0" w:line="384" w:lineRule="auto"/>
        <w:ind w:firstLine="480"/>
        <w:jc w:val="both"/>
        <w:rPr>
          <w:lang w:eastAsia="zh-CN"/>
        </w:rPr>
      </w:pPr>
      <w:r>
        <w:rPr>
          <w:lang w:eastAsia="zh-CN"/>
        </w:rPr>
        <w:t>以细胞谱系设施标准化、多模态的谱系大数据为基础，系统解析人体细胞从发育到疾病、从健康到衰老的谱系演变规律；建立可再生、可追溯、可分发的谱系研究资源体系，为领域提供高质量的模型与样本供给；阐明细胞谱系状态与疾病发生、演进及治疗响应之间的内在联系，发现谱系导向的干预靶点并形成干预策略；建立细胞谱系的定量表征与数字化呈现方法，构建细胞谱系基础模型与数字孪生体系，逐步实现“给定扰动、预测谱系走向”的能力；形成统一的数据采集、质控、标注与汇交标准，使设施产出的数据、模型与资源成为可开放共享的公共科技资源，支撑疾病早期识别、精准分型与新药研发。</w:t>
      </w:r>
    </w:p>
    <w:p w14:paraId="359F325F">
      <w:pPr>
        <w:spacing w:after="0" w:line="384" w:lineRule="auto"/>
        <w:ind w:firstLine="480"/>
        <w:jc w:val="both"/>
        <w:rPr>
          <w:b/>
          <w:bCs/>
          <w:sz w:val="28"/>
          <w:szCs w:val="24"/>
          <w:lang w:eastAsia="zh-CN"/>
        </w:rPr>
      </w:pPr>
      <w:r>
        <w:rPr>
          <w:b/>
          <w:bCs/>
          <w:sz w:val="28"/>
          <w:szCs w:val="24"/>
          <w:lang w:eastAsia="zh-CN"/>
        </w:rPr>
        <w:t>二、核心科学问题</w:t>
      </w:r>
    </w:p>
    <w:p w14:paraId="375C31D1">
      <w:pPr>
        <w:spacing w:after="0" w:line="384" w:lineRule="auto"/>
        <w:ind w:firstLine="480"/>
        <w:jc w:val="both"/>
        <w:rPr>
          <w:b/>
          <w:bCs/>
          <w:lang w:eastAsia="zh-CN"/>
        </w:rPr>
      </w:pPr>
      <w:r>
        <w:rPr>
          <w:b/>
          <w:bCs/>
          <w:lang w:eastAsia="zh-CN"/>
        </w:rPr>
        <w:t>（一）细胞谱系研究资源的可再生获取与标准化表征</w:t>
      </w:r>
    </w:p>
    <w:p w14:paraId="66EFE774">
      <w:pPr>
        <w:spacing w:after="0" w:line="384" w:lineRule="auto"/>
        <w:ind w:firstLine="480"/>
        <w:jc w:val="both"/>
        <w:rPr>
          <w:lang w:eastAsia="zh-CN"/>
        </w:rPr>
      </w:pPr>
      <w:r>
        <w:rPr>
          <w:lang w:eastAsia="zh-CN"/>
        </w:rPr>
        <w:t>针对现有细胞模型代表性不足、可再生性差、临床注释与胚系对照缺失等问题，发展可长期传代、可冻存复苏、可对外分发的谱系研究模型体系，建立模型与亲本组织的一致性验证方法和质量控制标准，形成覆盖多病种、多亚型的资源库，并研究模型在长期培养与反复冻融过程中的遗传与表型漂变规律，解决“用什么做研究、研究结果能否重复”这一前置问题。</w:t>
      </w:r>
    </w:p>
    <w:p w14:paraId="1C8F46C0">
      <w:pPr>
        <w:spacing w:after="0" w:line="384" w:lineRule="auto"/>
        <w:ind w:firstLine="480"/>
        <w:jc w:val="both"/>
        <w:rPr>
          <w:rFonts w:hint="eastAsia"/>
          <w:b/>
          <w:bCs/>
          <w:lang w:eastAsia="zh-CN"/>
        </w:rPr>
      </w:pPr>
      <w:r>
        <w:rPr>
          <w:b/>
          <w:bCs/>
          <w:lang w:eastAsia="zh-CN"/>
        </w:rPr>
        <w:t>（二）细胞谱系的演化规律与状态依赖的</w:t>
      </w:r>
      <w:r>
        <w:rPr>
          <w:rFonts w:hint="eastAsia"/>
          <w:b/>
          <w:bCs/>
          <w:lang w:eastAsia="zh-CN"/>
        </w:rPr>
        <w:t>精准治疗</w:t>
      </w:r>
    </w:p>
    <w:p w14:paraId="3F9A0606">
      <w:pPr>
        <w:spacing w:after="0" w:line="384" w:lineRule="auto"/>
        <w:ind w:firstLine="480"/>
        <w:jc w:val="both"/>
        <w:rPr>
          <w:lang w:eastAsia="zh-CN"/>
        </w:rPr>
      </w:pPr>
      <w:r>
        <w:rPr>
          <w:lang w:eastAsia="zh-CN"/>
        </w:rPr>
        <w:t>针对细胞谱系在遗传改变与微环境压力下发生的偏离、重编程与克隆演化，发展谱系追踪与多模态表型联合解析的方法，明确谱系演进的关键节点、起源细胞与时空调控因子；在此基础上回答不同谱系亚型、不同细胞状态下的选择性治疗脆弱性，以及治疗压力驱动的谱系转换与耐药演化规律，从“哪个基因必需”推进到“哪一个谱系、在什么状态下对什么扰动敏感”。</w:t>
      </w:r>
    </w:p>
    <w:p w14:paraId="12E5D898">
      <w:pPr>
        <w:spacing w:after="0" w:line="384" w:lineRule="auto"/>
        <w:ind w:firstLine="480"/>
        <w:jc w:val="both"/>
        <w:rPr>
          <w:b/>
          <w:bCs/>
          <w:lang w:eastAsia="zh-CN"/>
        </w:rPr>
      </w:pPr>
      <w:r>
        <w:rPr>
          <w:b/>
          <w:bCs/>
          <w:lang w:eastAsia="zh-CN"/>
        </w:rPr>
        <w:t>（三）基于谱系解析的干预靶点发现与治疗策略构建</w:t>
      </w:r>
    </w:p>
    <w:p w14:paraId="16B2EC7A">
      <w:pPr>
        <w:spacing w:after="0" w:line="384" w:lineRule="auto"/>
        <w:ind w:firstLine="480"/>
        <w:jc w:val="both"/>
        <w:rPr>
          <w:lang w:eastAsia="zh-CN"/>
        </w:rPr>
      </w:pPr>
      <w:r>
        <w:rPr>
          <w:lang w:eastAsia="zh-CN"/>
        </w:rPr>
        <w:t>针对谱系认识向治疗手段转化的瓶颈，研究抗原呈递、免疫识别与细胞杀伤过程中的谱系规律，建立从分子特征到可药性靶点、从靶点预测到功能验证的闭环方法；发展靶点的多层次确证手段，解决分子层面预测与实际功能之间的偏差问题，形成可支撑药物、疫苗与细胞治疗研发的谱系导向策略。</w:t>
      </w:r>
    </w:p>
    <w:p w14:paraId="6926D311">
      <w:pPr>
        <w:spacing w:after="0" w:line="384" w:lineRule="auto"/>
        <w:ind w:firstLine="480"/>
        <w:jc w:val="both"/>
        <w:rPr>
          <w:b/>
          <w:bCs/>
          <w:lang w:eastAsia="zh-CN"/>
        </w:rPr>
      </w:pPr>
      <w:r>
        <w:rPr>
          <w:b/>
          <w:bCs/>
          <w:lang w:eastAsia="zh-CN"/>
        </w:rPr>
        <w:t>（四）细胞谱系的定量表征、数字孪生与跨体系迁移</w:t>
      </w:r>
    </w:p>
    <w:p w14:paraId="117C2FB6">
      <w:pPr>
        <w:spacing w:after="0" w:line="384" w:lineRule="auto"/>
        <w:ind w:firstLine="480"/>
        <w:jc w:val="both"/>
        <w:rPr>
          <w:lang w:eastAsia="zh-CN"/>
        </w:rPr>
      </w:pPr>
      <w:r>
        <w:rPr>
          <w:lang w:eastAsia="zh-CN"/>
        </w:rPr>
        <w:t>针对多源、高维、跨尺度谱系数据难以整合的问题，建立统一的数据采集、质控、标注与汇交规范和跨课题整合方法；研究不同模态之间的可计算映射关系，使低成本、易获取的常规检测能够重建高成本、高维度的分子信息；训练跨病种、跨组织的细胞谱系基础模型，实现谱系状态的定量表征、扰动响应预测与数字孪生构建。</w:t>
      </w:r>
    </w:p>
    <w:p w14:paraId="643F083F">
      <w:pPr>
        <w:spacing w:after="0" w:line="384" w:lineRule="auto"/>
        <w:ind w:firstLine="480"/>
        <w:jc w:val="both"/>
        <w:rPr>
          <w:b/>
          <w:bCs/>
          <w:sz w:val="28"/>
          <w:szCs w:val="24"/>
          <w:lang w:eastAsia="zh-CN"/>
        </w:rPr>
      </w:pPr>
      <w:r>
        <w:rPr>
          <w:b/>
          <w:bCs/>
          <w:sz w:val="28"/>
          <w:szCs w:val="24"/>
          <w:lang w:eastAsia="zh-CN"/>
        </w:rPr>
        <w:t>三、2026年度资助研究方向</w:t>
      </w:r>
    </w:p>
    <w:p w14:paraId="612C3C64">
      <w:pPr>
        <w:spacing w:after="0" w:line="384" w:lineRule="auto"/>
        <w:ind w:firstLine="480"/>
        <w:jc w:val="both"/>
        <w:rPr>
          <w:lang w:eastAsia="zh-CN"/>
        </w:rPr>
      </w:pPr>
      <w:r>
        <w:rPr>
          <w:lang w:eastAsia="zh-CN"/>
        </w:rPr>
        <w:t>本计划以细胞谱系设施六大技术平台的多模态测量能力为依托，首批聚焦以恶性肿瘤为代表的疾病谱系</w:t>
      </w:r>
      <w:r>
        <w:rPr>
          <w:rFonts w:hint="eastAsia"/>
          <w:lang w:eastAsia="zh-CN"/>
        </w:rPr>
        <w:t>。</w:t>
      </w:r>
      <w:r>
        <w:rPr>
          <w:lang w:eastAsia="zh-CN"/>
        </w:rPr>
        <w:t>肿瘤在本质上是一种细胞谱系失控的疾病，且临床样本可及、需求迫切，能够充分调动设施的跨平台能力，是建设期最具可行性的突破方向；同时</w:t>
      </w:r>
      <w:r>
        <w:rPr>
          <w:rFonts w:hint="eastAsia"/>
          <w:lang w:eastAsia="zh-CN"/>
        </w:rPr>
        <w:t>计划</w:t>
      </w:r>
      <w:r>
        <w:rPr>
          <w:lang w:eastAsia="zh-CN"/>
        </w:rPr>
        <w:t>兼顾呼吸、循环、免疫三大系统的发育谱系研究。申请项目须以设施平台产出数据为主，按规范汇交数据。本计划拟设置培育项目与重点项目两类：</w:t>
      </w:r>
    </w:p>
    <w:p w14:paraId="4FA9AA47">
      <w:pPr>
        <w:spacing w:after="0" w:line="384" w:lineRule="auto"/>
        <w:ind w:firstLine="480"/>
        <w:jc w:val="both"/>
        <w:rPr>
          <w:b/>
          <w:bCs/>
          <w:sz w:val="28"/>
          <w:szCs w:val="24"/>
          <w:lang w:eastAsia="zh-CN"/>
        </w:rPr>
      </w:pPr>
      <w:r>
        <w:rPr>
          <w:b/>
          <w:bCs/>
          <w:sz w:val="28"/>
          <w:szCs w:val="24"/>
          <w:lang w:eastAsia="zh-CN"/>
        </w:rPr>
        <w:t>（一）培育项目。</w:t>
      </w:r>
    </w:p>
    <w:p w14:paraId="3AF64A33">
      <w:pPr>
        <w:spacing w:after="0" w:line="384" w:lineRule="auto"/>
        <w:ind w:firstLine="480"/>
        <w:jc w:val="both"/>
        <w:rPr>
          <w:lang w:eastAsia="zh-CN"/>
        </w:rPr>
      </w:pPr>
      <w:r>
        <w:rPr>
          <w:lang w:eastAsia="zh-CN"/>
        </w:rPr>
        <w:t>围绕上述核心科学问题，以总体科学目标为牵引，对于选题新颖、方法学创新性强、前期基础较好的申请项目，以培育项目方式予以资助，具体研究方向如下：</w:t>
      </w:r>
    </w:p>
    <w:p w14:paraId="1589494B">
      <w:pPr>
        <w:spacing w:after="0" w:line="384" w:lineRule="auto"/>
        <w:ind w:firstLine="480"/>
        <w:jc w:val="both"/>
        <w:rPr>
          <w:b/>
          <w:bCs/>
          <w:lang w:eastAsia="zh-CN"/>
        </w:rPr>
      </w:pPr>
      <w:r>
        <w:rPr>
          <w:b/>
          <w:bCs/>
          <w:lang w:eastAsia="zh-CN"/>
        </w:rPr>
        <w:t>1. 人源肿瘤类器官谱系资源库与多模态图谱</w:t>
      </w:r>
      <w:r>
        <w:rPr>
          <w:rFonts w:hint="eastAsia"/>
          <w:b/>
          <w:bCs/>
          <w:lang w:eastAsia="zh-CN"/>
        </w:rPr>
        <w:t>构建</w:t>
      </w:r>
      <w:r>
        <w:rPr>
          <w:b/>
          <w:bCs/>
          <w:lang w:eastAsia="zh-CN"/>
        </w:rPr>
        <w:t>。</w:t>
      </w:r>
    </w:p>
    <w:p w14:paraId="4ECD6FA7">
      <w:pPr>
        <w:spacing w:after="0" w:line="384" w:lineRule="auto"/>
        <w:ind w:firstLine="480"/>
        <w:jc w:val="both"/>
        <w:rPr>
          <w:lang w:eastAsia="zh-CN"/>
        </w:rPr>
      </w:pPr>
      <w:r>
        <w:rPr>
          <w:rFonts w:hint="eastAsia"/>
          <w:lang w:eastAsia="zh-CN"/>
        </w:rPr>
        <w:t>以呼吸系统肿瘤为主，建立可再生、临床注释完整的患者来源类器官资源库，建立冻融质控与亲本肿瘤一致性验证方法；引入谱系条形码追踪，解析培养与扰动过程中的克隆演化轨迹；结合时空多组学多维度分析，构建谱系分辨的多模态图谱。鼓励形成可对外分发的标准化模型资源与操作规范。</w:t>
      </w:r>
    </w:p>
    <w:p w14:paraId="3A41365B">
      <w:pPr>
        <w:spacing w:after="0" w:line="384" w:lineRule="auto"/>
        <w:ind w:firstLine="480"/>
        <w:jc w:val="both"/>
        <w:rPr>
          <w:b/>
          <w:bCs/>
          <w:lang w:eastAsia="zh-CN"/>
        </w:rPr>
      </w:pPr>
      <w:r>
        <w:rPr>
          <w:b/>
          <w:bCs/>
          <w:lang w:eastAsia="zh-CN"/>
        </w:rPr>
        <w:t>2. 难治性肿瘤谱系选择性治疗解析与精准药物发现。</w:t>
      </w:r>
    </w:p>
    <w:p w14:paraId="72CF0EFB">
      <w:pPr>
        <w:spacing w:after="0" w:line="384" w:lineRule="auto"/>
        <w:ind w:firstLine="480"/>
        <w:jc w:val="both"/>
        <w:rPr>
          <w:lang w:eastAsia="zh-CN"/>
        </w:rPr>
      </w:pPr>
      <w:r>
        <w:rPr>
          <w:lang w:eastAsia="zh-CN"/>
        </w:rPr>
        <w:t>针对小细胞肺癌等高度异质、易复发耐药的难治性肿瘤，基于已有谱系分型体系，综合应用单细胞转录组、表观组、蛋白组、空间多组学与多模态成像，结合遗传扰动与药理学筛选，鉴定维持特定谱系状态与存活的关键依赖因子和可药性靶点；建立覆盖主要谱系亚型的药物筛选与评价平台，解析谱系选择性抗肿瘤作用机制，探索治疗压力下的谱系转换与耐药演化规律，并建立相应的患者分层与疗效预测标志物。鼓励产出具有明确靶点与临床前候选药物开发潜力的药物先导化合物</w:t>
      </w:r>
    </w:p>
    <w:p w14:paraId="0C7EAFCB">
      <w:pPr>
        <w:spacing w:after="0" w:line="384" w:lineRule="auto"/>
        <w:ind w:firstLine="480"/>
        <w:jc w:val="both"/>
        <w:rPr>
          <w:b/>
          <w:bCs/>
          <w:lang w:eastAsia="zh-CN"/>
        </w:rPr>
      </w:pPr>
      <w:r>
        <w:rPr>
          <w:rFonts w:hint="eastAsia"/>
          <w:b/>
          <w:bCs/>
          <w:lang w:eastAsia="zh-CN"/>
        </w:rPr>
        <w:t>3. 多组学与人工智能驱动的肿瘤抗原库构建及功能验证。</w:t>
      </w:r>
    </w:p>
    <w:p w14:paraId="732AB4EB">
      <w:pPr>
        <w:spacing w:after="0" w:line="384" w:lineRule="auto"/>
        <w:ind w:firstLine="480"/>
        <w:jc w:val="both"/>
        <w:rPr>
          <w:lang w:eastAsia="zh-CN"/>
        </w:rPr>
      </w:pPr>
      <w:r>
        <w:rPr>
          <w:lang w:eastAsia="zh-CN"/>
        </w:rPr>
        <w:t>以单细胞转录组、空间转录组与全外显子组数据作为前置过滤，结合原子层面的图神经网络方法构建抗原—HLA结合与免疫原性预测模型，形成可持续扩充的肿瘤抗原库；重点建立mRNA转染的功能验证平台，将候选抗原以mRNA形式转染抗原呈递细胞，经天然加工呈递后与自体免疫效应细胞共培养，获得呈递与杀伤的双重功能读出；以翻译组测序解析核糖体驻留与真实切割位点，指导连接肽与抗原排布设计以消除表位遮蔽，形成"预测—验证—迭代"的闭环。鼓励整合质谱实测的抗原肽呈递数据作为模型训练与校正依据</w:t>
      </w:r>
      <w:r>
        <w:rPr>
          <w:rFonts w:hint="eastAsia"/>
          <w:lang w:eastAsia="zh-CN"/>
        </w:rPr>
        <w:t>。</w:t>
      </w:r>
    </w:p>
    <w:p w14:paraId="486B81B9">
      <w:pPr>
        <w:spacing w:after="0" w:line="384" w:lineRule="auto"/>
        <w:ind w:firstLine="480"/>
        <w:jc w:val="both"/>
        <w:rPr>
          <w:b/>
          <w:bCs/>
          <w:lang w:eastAsia="zh-CN"/>
        </w:rPr>
      </w:pPr>
      <w:r>
        <w:rPr>
          <w:b/>
          <w:bCs/>
          <w:lang w:eastAsia="zh-CN"/>
        </w:rPr>
        <w:t>4. 肿瘤抗原呈递特征与浸润免疫细胞克隆谱系解析。</w:t>
      </w:r>
    </w:p>
    <w:p w14:paraId="5F5C74B1">
      <w:pPr>
        <w:spacing w:after="0" w:line="384" w:lineRule="auto"/>
        <w:ind w:firstLine="480"/>
        <w:jc w:val="both"/>
        <w:rPr>
          <w:lang w:eastAsia="zh-CN"/>
        </w:rPr>
      </w:pPr>
      <w:r>
        <w:rPr>
          <w:lang w:eastAsia="zh-CN"/>
        </w:rPr>
        <w:t>抗原呈递决定"识别什么"，浸润免疫细胞的克隆构成决定"由谁识别、识别能力能否维持"，本方向支持二者</w:t>
      </w:r>
      <w:r>
        <w:rPr>
          <w:rFonts w:hint="eastAsia"/>
          <w:lang w:eastAsia="zh-CN"/>
        </w:rPr>
        <w:t>的</w:t>
      </w:r>
      <w:r>
        <w:rPr>
          <w:lang w:eastAsia="zh-CN"/>
        </w:rPr>
        <w:t>联合解析。抗原侧，建立基于高分辨质谱的抗原肽鉴定方法体系，系统解析肿瘤组织与细胞中天然加工呈递的抗原肽谱，鉴定其来源蛋白与呈递丰度，阐明特异性免疫应答的分子通路，</w:t>
      </w:r>
      <w:r>
        <w:t>鼓励以病毒相关肿瘤为切入</w:t>
      </w:r>
      <w:r>
        <w:rPr>
          <w:lang w:eastAsia="zh-CN"/>
        </w:rPr>
        <w:t>，在明确的抗原来源背景下建立方法学基准与可迁移的分析流程；效应侧，构建肺癌肿瘤细胞与肿瘤浸润淋巴细胞（TILs）的多维分子空间谱系图谱，以TCR为天然谱系条形码解析原位TILs的克隆构成、空间分布与功能分化，对比原位本底与体外扩增克隆谱系的动态重塑，揭示优势克隆富集、肿瘤反应性克隆丢失与耗竭克隆筛选的谱系偏差，阐明克隆重塑调控TIL功能分化与抗肿瘤活性衰退的机理。鼓励两侧数据交叉印证，并为方向三的预测模型提供实测校正依据</w:t>
      </w:r>
      <w:r>
        <w:rPr>
          <w:rFonts w:hint="eastAsia"/>
          <w:lang w:eastAsia="zh-CN"/>
        </w:rPr>
        <w:t>。</w:t>
      </w:r>
    </w:p>
    <w:p w14:paraId="78F58603">
      <w:pPr>
        <w:spacing w:after="0" w:line="384" w:lineRule="auto"/>
        <w:ind w:firstLine="480"/>
        <w:jc w:val="both"/>
        <w:rPr>
          <w:b/>
          <w:bCs/>
          <w:lang w:eastAsia="zh-CN"/>
        </w:rPr>
      </w:pPr>
      <w:r>
        <w:rPr>
          <w:b/>
          <w:bCs/>
          <w:lang w:eastAsia="zh-CN"/>
        </w:rPr>
        <w:t>5. 泛癌种细胞谱系数字孪生底座与数据标准。</w:t>
      </w:r>
    </w:p>
    <w:p w14:paraId="7E230783">
      <w:pPr>
        <w:spacing w:after="0" w:line="384" w:lineRule="auto"/>
        <w:ind w:firstLine="480"/>
        <w:jc w:val="both"/>
        <w:rPr>
          <w:lang w:eastAsia="zh-CN"/>
        </w:rPr>
      </w:pPr>
      <w:r>
        <w:rPr>
          <w:rFonts w:hint="eastAsia"/>
          <w:lang w:eastAsia="zh-CN"/>
        </w:rPr>
        <w:t>围绕</w:t>
      </w:r>
      <w:r>
        <w:rPr>
          <w:lang w:eastAsia="zh-CN"/>
        </w:rPr>
        <w:t>心血管疾病、恶性肿瘤、慢性呼吸系统疾病、免疫相关疾病等重大疾</w:t>
      </w:r>
      <w:r>
        <w:rPr>
          <w:rFonts w:hint="eastAsia"/>
          <w:lang w:eastAsia="zh-CN"/>
        </w:rPr>
        <w:t>病，构建疾病细胞谱系数字孪生底座及其数据标准体系。制定覆盖单细胞组学、空间转录组学、蛋白质与代谢组学、影像和谱系追踪五类数据的采集、质控、标注与汇交统一规范；建立跨课题、跨模态的数据整合与质量评估流水线，实现多模态数据对齐/配准、批次效应校正与全流程可追溯，提升数据的标准化、可比性与可复用性。以本计划各项目产出的数据为基础，训练可用于疾病状态表征及演进预测的的细胞谱系基础模型，支持跨病种迁移学习与扰动响应预测，并建设面向社会的数据与模型开放共享门户/接口。本方向以数据整合与建模为主，原则上不重复开展数据采集。鼓励与本计划其他项目形成直接的数据供给与调用关系。</w:t>
      </w:r>
    </w:p>
    <w:p w14:paraId="20E4387C">
      <w:pPr>
        <w:spacing w:after="0" w:line="384" w:lineRule="auto"/>
        <w:ind w:firstLine="480"/>
        <w:jc w:val="both"/>
        <w:rPr>
          <w:b/>
          <w:bCs/>
          <w:lang w:eastAsia="zh-CN"/>
        </w:rPr>
      </w:pPr>
      <w:r>
        <w:rPr>
          <w:b/>
          <w:bCs/>
          <w:lang w:eastAsia="zh-CN"/>
        </w:rPr>
        <w:t>6. 细胞谱系前沿探索。</w:t>
      </w:r>
    </w:p>
    <w:p w14:paraId="6E57A551">
      <w:pPr>
        <w:spacing w:after="0" w:line="384" w:lineRule="auto"/>
        <w:ind w:firstLine="480"/>
        <w:jc w:val="both"/>
        <w:rPr>
          <w:lang w:eastAsia="zh-CN"/>
        </w:rPr>
      </w:pPr>
      <w:r>
        <w:rPr>
          <w:lang w:eastAsia="zh-CN"/>
        </w:rPr>
        <w:t>不预设具体科学问题，凡研究落点属于细胞谱系解析与追踪、生命数字化范畴的探索性选题均可申报，尤其鼓励呼吸、循环、免疫三大系统发育谱系方向的研究，以及对设施现有能力的新用法、新方法、跨平台组合方案的探索。本方向</w:t>
      </w:r>
      <w:r>
        <w:rPr>
          <w:rFonts w:hint="eastAsia"/>
          <w:lang w:eastAsia="zh-CN"/>
        </w:rPr>
        <w:t>申报</w:t>
      </w:r>
      <w:r>
        <w:rPr>
          <w:lang w:eastAsia="zh-CN"/>
        </w:rPr>
        <w:t>先</w:t>
      </w:r>
      <w:r>
        <w:rPr>
          <w:rFonts w:hint="eastAsia"/>
          <w:lang w:eastAsia="zh-CN"/>
        </w:rPr>
        <w:t>需先</w:t>
      </w:r>
      <w:r>
        <w:rPr>
          <w:lang w:eastAsia="zh-CN"/>
        </w:rPr>
        <w:t>提交不超过</w:t>
      </w:r>
      <w:r>
        <w:rPr>
          <w:rFonts w:hint="eastAsia"/>
          <w:lang w:eastAsia="zh-CN"/>
        </w:rPr>
        <w:t>一</w:t>
      </w:r>
      <w:r>
        <w:rPr>
          <w:lang w:eastAsia="zh-CN"/>
        </w:rPr>
        <w:t>页的选题建议书，经运行部组织遴选后方可提交正式申请书</w:t>
      </w:r>
      <w:r>
        <w:rPr>
          <w:rFonts w:hint="eastAsia"/>
          <w:lang w:eastAsia="zh-CN"/>
        </w:rPr>
        <w:t>；</w:t>
      </w:r>
      <w:r>
        <w:rPr>
          <w:lang w:eastAsia="zh-CN"/>
        </w:rPr>
        <w:t>经申请人同意，提交的选题建议将纳入设施选题库，作为下一年度指南编制的候选方</w:t>
      </w:r>
      <w:r>
        <w:rPr>
          <w:rFonts w:hint="eastAsia" w:ascii="宋体" w:hAnsi="宋体" w:eastAsia="宋体" w:cs="宋体"/>
          <w:lang w:eastAsia="zh-CN"/>
        </w:rPr>
        <w:t>向</w:t>
      </w:r>
      <w:r>
        <w:rPr>
          <w:rFonts w:hint="eastAsia"/>
          <w:lang w:eastAsia="zh-CN"/>
        </w:rPr>
        <w:t>。</w:t>
      </w:r>
      <w:r>
        <w:rPr>
          <w:lang w:eastAsia="zh-CN"/>
        </w:rPr>
        <w:t>仅为委托测试而无明确科学问题、样本来源无保障或与其他资助方向重复的申请不予受理。</w:t>
      </w:r>
    </w:p>
    <w:p w14:paraId="336DFE13">
      <w:pPr>
        <w:spacing w:after="0" w:line="384" w:lineRule="auto"/>
        <w:ind w:firstLine="480"/>
        <w:jc w:val="both"/>
        <w:rPr>
          <w:b/>
          <w:bCs/>
          <w:sz w:val="28"/>
          <w:szCs w:val="24"/>
          <w:lang w:eastAsia="zh-CN"/>
        </w:rPr>
      </w:pPr>
      <w:r>
        <w:rPr>
          <w:b/>
          <w:bCs/>
          <w:sz w:val="28"/>
          <w:szCs w:val="24"/>
          <w:lang w:eastAsia="zh-CN"/>
        </w:rPr>
        <w:t>（二）重点支持项目。</w:t>
      </w:r>
    </w:p>
    <w:p w14:paraId="1DB8FD17">
      <w:pPr>
        <w:spacing w:after="0" w:line="384" w:lineRule="auto"/>
        <w:ind w:firstLine="480"/>
        <w:jc w:val="both"/>
        <w:rPr>
          <w:lang w:eastAsia="zh-CN"/>
        </w:rPr>
      </w:pPr>
      <w:r>
        <w:rPr>
          <w:lang w:eastAsia="zh-CN"/>
        </w:rPr>
        <w:t>围绕核心科学问题，以总体科学目标为牵引，对于前期基础扎实、能够与本计划其他项目形成学科交叉与优势互补、并对总体科学目标形成重要贡献的申请项目，以重点支持项目方式予以资助，具体研究方向如下：</w:t>
      </w:r>
    </w:p>
    <w:p w14:paraId="5CD21B31">
      <w:pPr>
        <w:spacing w:after="0" w:line="384" w:lineRule="auto"/>
        <w:ind w:firstLine="480"/>
        <w:jc w:val="both"/>
        <w:rPr>
          <w:b/>
          <w:bCs/>
          <w:lang w:eastAsia="zh-CN"/>
        </w:rPr>
      </w:pPr>
      <w:r>
        <w:rPr>
          <w:b/>
          <w:bCs/>
          <w:lang w:eastAsia="zh-CN"/>
        </w:rPr>
        <w:t>1. 重大恶性肿瘤细胞谱系演进规律与谱系导向干预。</w:t>
      </w:r>
    </w:p>
    <w:p w14:paraId="036A1DB7">
      <w:pPr>
        <w:spacing w:after="0" w:line="384" w:lineRule="auto"/>
        <w:ind w:firstLine="480"/>
        <w:jc w:val="both"/>
        <w:rPr>
          <w:lang w:eastAsia="zh-CN"/>
        </w:rPr>
      </w:pPr>
      <w:r>
        <w:rPr>
          <w:lang w:eastAsia="zh-CN"/>
        </w:rPr>
        <w:t>以胰腺癌等恶性程度高、早诊困难、预后极差的重大肿瘤为对象，结合动物模型与不同进程的人体临床样本，解析由正常细胞经癌变到多器官转移的完整谱系演进路径，基于细胞起源与演进路径建立精准分型，发现决定器官特异性转移的时空谱系调控因子；同时揭示微环境中间质细胞与免疫细胞在癌变过程中的谱系演变对疾病进展、耐药与转移的影响机理，发现潜在干预靶点并开展干预策略开发。鼓励产出基于谱系分型的治疗靶标与先导化合物。</w:t>
      </w:r>
    </w:p>
    <w:p w14:paraId="1902B313">
      <w:pPr>
        <w:spacing w:after="0" w:line="384" w:lineRule="auto"/>
        <w:ind w:firstLine="480"/>
        <w:jc w:val="both"/>
        <w:rPr>
          <w:b/>
          <w:bCs/>
          <w:lang w:eastAsia="zh-CN"/>
        </w:rPr>
      </w:pPr>
      <w:r>
        <w:rPr>
          <w:b/>
          <w:bCs/>
          <w:lang w:eastAsia="zh-CN"/>
        </w:rPr>
        <w:t>2. 病理形态—空间多组学跨模态迁移与病理数字大模型。</w:t>
      </w:r>
    </w:p>
    <w:p w14:paraId="179C9F38">
      <w:pPr>
        <w:spacing w:after="0" w:line="384" w:lineRule="auto"/>
        <w:ind w:firstLine="480"/>
        <w:jc w:val="both"/>
        <w:rPr>
          <w:lang w:eastAsia="zh-CN"/>
        </w:rPr>
      </w:pPr>
      <w:r>
        <w:rPr>
          <w:lang w:eastAsia="zh-CN"/>
        </w:rPr>
        <w:t>本方向支持建立大规模数字病理基础模型与配套数据治理规范，研究由常规</w:t>
      </w:r>
      <w:r>
        <w:rPr>
          <w:rFonts w:hint="eastAsia"/>
          <w:lang w:eastAsia="zh-CN"/>
        </w:rPr>
        <w:t>HE</w:t>
      </w:r>
      <w:r>
        <w:rPr>
          <w:lang w:eastAsia="zh-CN"/>
        </w:rPr>
        <w:t>染色形态表征向空间转录组、空间蛋白与代谢组的迁移、插值与超分辨增强方法，开展石蜡包埋与相邻冰冻样本之间的配准及保真度验证，量化跨处理方式的系统性偏移并提出校正策略；在此基础上整合形成病理数字大模型，实现由常规切片虚拟恢复原位分子信息，并在回顾性队列中验证其在分子分型与治疗策略预测中的临床效用。鼓励与本计划资源类、数字化类项目共用样本流与数据标准。</w:t>
      </w:r>
    </w:p>
    <w:p w14:paraId="0ED8D5B7"/>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B0604020202020204"/>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6523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FangSong_GB2312" w:cstheme="minorBidi"/>
      <w:sz w:val="24"/>
      <w:szCs w:val="22"/>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2026-09-20T07:28:00Z</dcterms:created>
  <dc:creator>gao_m</dc:creator>
  <cp:lastModifiedBy>Jennifer</cp:lastModifiedBy>
  <dcterms:modified xsi:type="dcterms:W3CDTF">2026-09-20T07:28:15Z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eyJoZGlkIjoiMWEzMTRlMWQ4MWYxMGU5YTE3NDZmMzdjNGE2OGZmODEiLCJ1c2VySWQiOiI0MjcxMTU4NDMifQ==</vt:lpwstr>
  </property>
  <property fmtid="{D5CDD505-2E9C-101B-9397-08002B2CF9AE}" pid="4" name="ICV">
    <vt:lpwstr>1821C27B6D8D40C1890AE51B9D662016_12</vt:lpwstr>
  </property>
</Properties>
</file>